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0D" w:rsidRDefault="0093000D">
      <w:pPr>
        <w:spacing w:before="4" w:after="1"/>
        <w:rPr>
          <w:b/>
          <w:sz w:val="16"/>
        </w:rPr>
      </w:pPr>
    </w:p>
    <w:tbl>
      <w:tblPr>
        <w:tblW w:w="1577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3402"/>
        <w:gridCol w:w="3686"/>
        <w:gridCol w:w="3668"/>
        <w:gridCol w:w="3279"/>
      </w:tblGrid>
      <w:tr w:rsidR="00054C29" w:rsidRPr="00A10901" w:rsidTr="00335A4D">
        <w:trPr>
          <w:trHeight w:val="268"/>
        </w:trPr>
        <w:tc>
          <w:tcPr>
            <w:tcW w:w="15773" w:type="dxa"/>
            <w:gridSpan w:val="5"/>
            <w:shd w:val="clear" w:color="auto" w:fill="FF0000"/>
          </w:tcPr>
          <w:p w:rsidR="00054C29" w:rsidRPr="00054C29" w:rsidRDefault="00054C29" w:rsidP="007472B1">
            <w:pPr>
              <w:ind w:left="67" w:right="279"/>
              <w:jc w:val="center"/>
              <w:rPr>
                <w:rFonts w:ascii="Gill Sans MT" w:hAnsi="Gill Sans MT"/>
              </w:rPr>
            </w:pPr>
            <w:r w:rsidRPr="006F2202">
              <w:rPr>
                <w:rFonts w:ascii="Gill Sans MT" w:eastAsia="Arial" w:hAnsi="Gill Sans MT" w:cs="Arial"/>
                <w:b/>
                <w:noProof/>
                <w:color w:val="FFFFFF"/>
                <w:sz w:val="36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A836234" wp14:editId="3D5B306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481965" cy="601039"/>
                  <wp:effectExtent l="0" t="0" r="0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6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202">
              <w:rPr>
                <w:rFonts w:ascii="Gill Sans MT" w:eastAsia="Arial" w:hAnsi="Gill Sans MT" w:cs="Arial"/>
                <w:b/>
                <w:color w:val="FFFFFF"/>
                <w:sz w:val="36"/>
              </w:rPr>
              <w:t xml:space="preserve">St Joseph’s Catholic Primary Voluntary Academy </w:t>
            </w:r>
            <w:r>
              <w:rPr>
                <w:rFonts w:ascii="Gill Sans MT" w:eastAsia="Arial" w:hAnsi="Gill Sans MT" w:cs="Arial"/>
                <w:b/>
                <w:color w:val="FFFFFF"/>
                <w:sz w:val="36"/>
              </w:rPr>
              <w:t>Skill</w:t>
            </w:r>
            <w:bookmarkStart w:id="0" w:name="_GoBack"/>
            <w:bookmarkEnd w:id="0"/>
            <w:r>
              <w:rPr>
                <w:rFonts w:ascii="Gill Sans MT" w:eastAsia="Arial" w:hAnsi="Gill Sans MT" w:cs="Arial"/>
                <w:b/>
                <w:color w:val="FFFFFF"/>
                <w:sz w:val="36"/>
              </w:rPr>
              <w:t>s progression</w:t>
            </w:r>
          </w:p>
          <w:p w:rsidR="00054C29" w:rsidRPr="00A10901" w:rsidRDefault="00054C29" w:rsidP="00054C29">
            <w:pPr>
              <w:pStyle w:val="TableParagraph"/>
              <w:ind w:left="0"/>
              <w:jc w:val="center"/>
              <w:rPr>
                <w:rFonts w:ascii="Gill Sans MT" w:hAnsi="Gill Sans MT"/>
                <w:b/>
                <w:i/>
                <w:sz w:val="28"/>
              </w:rPr>
            </w:pPr>
            <w:r>
              <w:rPr>
                <w:rFonts w:ascii="Gill Sans MT" w:eastAsia="Arial" w:hAnsi="Gill Sans MT" w:cs="Arial"/>
                <w:b/>
                <w:color w:val="FFFFFF"/>
                <w:sz w:val="36"/>
              </w:rPr>
              <w:t>Music</w:t>
            </w:r>
          </w:p>
        </w:tc>
      </w:tr>
      <w:tr w:rsidR="0093000D" w:rsidRPr="00A10901" w:rsidTr="00054C29">
        <w:trPr>
          <w:trHeight w:val="268"/>
        </w:trPr>
        <w:tc>
          <w:tcPr>
            <w:tcW w:w="1738" w:type="dxa"/>
            <w:shd w:val="clear" w:color="auto" w:fill="FF0000"/>
          </w:tcPr>
          <w:p w:rsidR="0093000D" w:rsidRPr="00054C29" w:rsidRDefault="00A10901" w:rsidP="00054C29">
            <w:pPr>
              <w:pStyle w:val="TableParagraph"/>
              <w:ind w:left="0"/>
              <w:rPr>
                <w:rFonts w:ascii="Gill Sans MT" w:hAnsi="Gill Sans MT"/>
                <w:sz w:val="28"/>
              </w:rPr>
            </w:pPr>
            <w:r w:rsidRPr="00054C29">
              <w:rPr>
                <w:rFonts w:ascii="Gill Sans MT" w:hAnsi="Gill Sans MT"/>
                <w:sz w:val="28"/>
              </w:rPr>
              <w:t>Music</w:t>
            </w:r>
          </w:p>
        </w:tc>
        <w:tc>
          <w:tcPr>
            <w:tcW w:w="3402" w:type="dxa"/>
            <w:shd w:val="clear" w:color="auto" w:fill="FF0000"/>
          </w:tcPr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  <w:b/>
                <w:i/>
                <w:sz w:val="28"/>
              </w:rPr>
            </w:pPr>
            <w:r w:rsidRPr="00054C29">
              <w:rPr>
                <w:rFonts w:ascii="Gill Sans MT" w:hAnsi="Gill Sans MT"/>
                <w:b/>
                <w:i/>
                <w:sz w:val="28"/>
              </w:rPr>
              <w:t>EYFS</w:t>
            </w:r>
          </w:p>
        </w:tc>
        <w:tc>
          <w:tcPr>
            <w:tcW w:w="3686" w:type="dxa"/>
            <w:shd w:val="clear" w:color="auto" w:fill="FF0000"/>
          </w:tcPr>
          <w:p w:rsidR="0093000D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  <w:b/>
                <w:i/>
                <w:sz w:val="28"/>
              </w:rPr>
            </w:pPr>
            <w:r w:rsidRPr="00054C29">
              <w:rPr>
                <w:rFonts w:ascii="Gill Sans MT" w:hAnsi="Gill Sans MT"/>
                <w:b/>
                <w:i/>
                <w:sz w:val="28"/>
              </w:rPr>
              <w:t>Years 1 and 2</w:t>
            </w:r>
          </w:p>
        </w:tc>
        <w:tc>
          <w:tcPr>
            <w:tcW w:w="3668" w:type="dxa"/>
            <w:shd w:val="clear" w:color="auto" w:fill="FF0000"/>
          </w:tcPr>
          <w:p w:rsidR="0093000D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  <w:b/>
                <w:i/>
                <w:sz w:val="28"/>
              </w:rPr>
            </w:pPr>
            <w:r w:rsidRPr="00054C29">
              <w:rPr>
                <w:rFonts w:ascii="Gill Sans MT" w:hAnsi="Gill Sans MT"/>
                <w:b/>
                <w:i/>
                <w:sz w:val="28"/>
              </w:rPr>
              <w:t>Years 3 and 4</w:t>
            </w:r>
          </w:p>
        </w:tc>
        <w:tc>
          <w:tcPr>
            <w:tcW w:w="3279" w:type="dxa"/>
            <w:shd w:val="clear" w:color="auto" w:fill="FF0000"/>
          </w:tcPr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  <w:b/>
                <w:i/>
                <w:sz w:val="28"/>
              </w:rPr>
            </w:pPr>
            <w:r w:rsidRPr="00054C29">
              <w:rPr>
                <w:rFonts w:ascii="Gill Sans MT" w:hAnsi="Gill Sans MT"/>
                <w:b/>
                <w:i/>
                <w:sz w:val="28"/>
              </w:rPr>
              <w:t>Years 5 and 6</w:t>
            </w:r>
          </w:p>
        </w:tc>
      </w:tr>
      <w:tr w:rsidR="0093000D" w:rsidRPr="00A10901" w:rsidTr="00054C29">
        <w:trPr>
          <w:trHeight w:val="1720"/>
        </w:trPr>
        <w:tc>
          <w:tcPr>
            <w:tcW w:w="1738" w:type="dxa"/>
            <w:shd w:val="clear" w:color="auto" w:fill="FFFFFF" w:themeFill="background1"/>
          </w:tcPr>
          <w:p w:rsidR="0093000D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  <w:b/>
                <w:i/>
              </w:rPr>
            </w:pPr>
            <w:r w:rsidRPr="00054C29">
              <w:rPr>
                <w:rFonts w:ascii="Gill Sans MT" w:hAnsi="Gill Sans MT"/>
                <w:b/>
                <w:i/>
              </w:rPr>
              <w:t>Elements of Music</w:t>
            </w:r>
          </w:p>
        </w:tc>
        <w:tc>
          <w:tcPr>
            <w:tcW w:w="3402" w:type="dxa"/>
          </w:tcPr>
          <w:p w:rsidR="00A10901" w:rsidRPr="00054C29" w:rsidRDefault="00A10901" w:rsidP="00054C29">
            <w:pPr>
              <w:pStyle w:val="TableParagraph"/>
              <w:tabs>
                <w:tab w:val="left" w:pos="1018"/>
              </w:tabs>
              <w:rPr>
                <w:rFonts w:ascii="Gill Sans MT" w:hAnsi="Gill Sans MT"/>
                <w:b/>
              </w:rPr>
            </w:pPr>
            <w:r w:rsidRPr="00054C29">
              <w:rPr>
                <w:rFonts w:ascii="Gill Sans MT" w:hAnsi="Gill Sans MT"/>
                <w:b/>
                <w:u w:val="single"/>
              </w:rPr>
              <w:t>Introduc</w:t>
            </w:r>
            <w:r w:rsidR="001E5F56" w:rsidRPr="00054C29">
              <w:rPr>
                <w:rFonts w:ascii="Gill Sans MT" w:hAnsi="Gill Sans MT"/>
                <w:b/>
                <w:u w:val="single"/>
              </w:rPr>
              <w:t>e</w:t>
            </w:r>
            <w:r w:rsidR="001E5F56" w:rsidRPr="00054C29">
              <w:rPr>
                <w:rFonts w:ascii="Gill Sans MT" w:hAnsi="Gill Sans MT"/>
                <w:b/>
              </w:rPr>
              <w:t xml:space="preserve"> </w:t>
            </w:r>
          </w:p>
          <w:p w:rsidR="00A10901" w:rsidRPr="00054C29" w:rsidRDefault="001E5F56" w:rsidP="00054C29">
            <w:pPr>
              <w:pStyle w:val="TableParagraph"/>
              <w:tabs>
                <w:tab w:val="left" w:pos="1018"/>
              </w:tabs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Pulse </w:t>
            </w:r>
          </w:p>
          <w:p w:rsidR="00A10901" w:rsidRPr="00054C29" w:rsidRDefault="001E5F56" w:rsidP="00054C29">
            <w:pPr>
              <w:pStyle w:val="TableParagraph"/>
              <w:tabs>
                <w:tab w:val="left" w:pos="1018"/>
              </w:tabs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Rhythm </w:t>
            </w:r>
          </w:p>
          <w:p w:rsidR="0093000D" w:rsidRPr="00054C29" w:rsidRDefault="001E5F56" w:rsidP="00054C29">
            <w:pPr>
              <w:pStyle w:val="TableParagraph"/>
              <w:tabs>
                <w:tab w:val="left" w:pos="1018"/>
              </w:tabs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Pitch</w:t>
            </w:r>
          </w:p>
        </w:tc>
        <w:tc>
          <w:tcPr>
            <w:tcW w:w="3686" w:type="dxa"/>
          </w:tcPr>
          <w:p w:rsidR="00A10901" w:rsidRPr="00054C29" w:rsidRDefault="00A10901" w:rsidP="00054C29">
            <w:pPr>
              <w:pStyle w:val="TableParagraph"/>
              <w:ind w:left="107"/>
              <w:rPr>
                <w:rFonts w:ascii="Gill Sans MT" w:hAnsi="Gill Sans MT"/>
                <w:b/>
              </w:rPr>
            </w:pPr>
            <w:r w:rsidRPr="00054C29">
              <w:rPr>
                <w:rFonts w:ascii="Gill Sans MT" w:hAnsi="Gill Sans MT"/>
                <w:b/>
                <w:u w:val="single"/>
              </w:rPr>
              <w:t xml:space="preserve">Main </w:t>
            </w:r>
            <w:r w:rsidR="001E5F56" w:rsidRPr="00054C29">
              <w:rPr>
                <w:rFonts w:ascii="Gill Sans MT" w:hAnsi="Gill Sans MT"/>
                <w:b/>
                <w:u w:val="single"/>
              </w:rPr>
              <w:t>Focus</w:t>
            </w:r>
            <w:r w:rsidR="001E5F56" w:rsidRPr="00054C29">
              <w:rPr>
                <w:rFonts w:ascii="Gill Sans MT" w:hAnsi="Gill Sans MT"/>
                <w:b/>
              </w:rPr>
              <w:t xml:space="preserve"> </w:t>
            </w:r>
          </w:p>
          <w:p w:rsidR="00A10901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Pulse </w:t>
            </w:r>
          </w:p>
          <w:p w:rsidR="00A10901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Rhythm </w:t>
            </w:r>
          </w:p>
          <w:p w:rsidR="0093000D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Pitch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A10901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  <w:b/>
              </w:rPr>
            </w:pPr>
            <w:r w:rsidRPr="00054C29">
              <w:rPr>
                <w:rFonts w:ascii="Gill Sans MT" w:hAnsi="Gill Sans MT"/>
                <w:b/>
                <w:u w:val="single"/>
              </w:rPr>
              <w:t>Introduce</w:t>
            </w:r>
            <w:r w:rsidRPr="00054C29">
              <w:rPr>
                <w:rFonts w:ascii="Gill Sans MT" w:hAnsi="Gill Sans MT"/>
                <w:b/>
              </w:rPr>
              <w:t xml:space="preserve"> </w:t>
            </w:r>
          </w:p>
          <w:p w:rsidR="00A10901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Dynamics </w:t>
            </w:r>
          </w:p>
          <w:p w:rsidR="00A10901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Tempo </w:t>
            </w:r>
          </w:p>
          <w:p w:rsidR="0093000D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Structure</w:t>
            </w:r>
          </w:p>
        </w:tc>
        <w:tc>
          <w:tcPr>
            <w:tcW w:w="3668" w:type="dxa"/>
          </w:tcPr>
          <w:p w:rsidR="00A10901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  <w:b/>
              </w:rPr>
            </w:pPr>
            <w:r w:rsidRPr="00054C29">
              <w:rPr>
                <w:rFonts w:ascii="Gill Sans MT" w:hAnsi="Gill Sans MT"/>
                <w:b/>
                <w:u w:val="single"/>
              </w:rPr>
              <w:t>Main Focus</w:t>
            </w:r>
            <w:r w:rsidRPr="00054C29">
              <w:rPr>
                <w:rFonts w:ascii="Gill Sans MT" w:hAnsi="Gill Sans MT"/>
                <w:b/>
              </w:rPr>
              <w:t xml:space="preserve"> </w:t>
            </w:r>
          </w:p>
          <w:p w:rsidR="00A10901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Pulse </w:t>
            </w:r>
          </w:p>
          <w:p w:rsidR="00A10901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Rhythm </w:t>
            </w:r>
          </w:p>
          <w:p w:rsidR="00A10901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Pitch </w:t>
            </w:r>
          </w:p>
          <w:p w:rsidR="00A10901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Dynamics </w:t>
            </w:r>
          </w:p>
          <w:p w:rsidR="00054C29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Tempo </w:t>
            </w:r>
          </w:p>
          <w:p w:rsidR="0093000D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Structure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  <w:b/>
              </w:rPr>
            </w:pPr>
            <w:r w:rsidRPr="00054C29">
              <w:rPr>
                <w:rFonts w:ascii="Gill Sans MT" w:hAnsi="Gill Sans MT"/>
                <w:b/>
                <w:u w:val="single"/>
              </w:rPr>
              <w:t>Introduce</w:t>
            </w:r>
          </w:p>
          <w:p w:rsidR="0093000D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Formal notation</w:t>
            </w:r>
          </w:p>
        </w:tc>
        <w:tc>
          <w:tcPr>
            <w:tcW w:w="3279" w:type="dxa"/>
          </w:tcPr>
          <w:p w:rsidR="00054C29" w:rsidRPr="00054C29" w:rsidRDefault="001E5F56" w:rsidP="00054C29">
            <w:pPr>
              <w:pStyle w:val="TableParagraph"/>
              <w:rPr>
                <w:rFonts w:ascii="Gill Sans MT" w:hAnsi="Gill Sans MT"/>
                <w:b/>
              </w:rPr>
            </w:pPr>
            <w:r w:rsidRPr="00054C29">
              <w:rPr>
                <w:rFonts w:ascii="Gill Sans MT" w:hAnsi="Gill Sans MT"/>
                <w:b/>
                <w:u w:val="single"/>
              </w:rPr>
              <w:t>Main Focus</w:t>
            </w:r>
            <w:r w:rsidRPr="00054C29">
              <w:rPr>
                <w:rFonts w:ascii="Gill Sans MT" w:hAnsi="Gill Sans MT"/>
                <w:b/>
              </w:rPr>
              <w:t xml:space="preserve"> </w:t>
            </w:r>
          </w:p>
          <w:p w:rsidR="00054C29" w:rsidRPr="00054C29" w:rsidRDefault="00054C29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Pulse </w:t>
            </w:r>
          </w:p>
          <w:p w:rsidR="00054C29" w:rsidRPr="00054C29" w:rsidRDefault="00054C29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Rhythm </w:t>
            </w:r>
          </w:p>
          <w:p w:rsidR="00054C29" w:rsidRPr="00054C29" w:rsidRDefault="00054C29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Pitch </w:t>
            </w:r>
          </w:p>
          <w:p w:rsidR="00054C29" w:rsidRPr="00054C29" w:rsidRDefault="00054C29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Dynamics </w:t>
            </w:r>
          </w:p>
          <w:p w:rsidR="00054C29" w:rsidRPr="00054C29" w:rsidRDefault="00054C29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Tempo </w:t>
            </w:r>
          </w:p>
          <w:p w:rsidR="00054C29" w:rsidRPr="00054C29" w:rsidRDefault="00054C29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Structure</w:t>
            </w:r>
          </w:p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Notation</w:t>
            </w:r>
          </w:p>
          <w:p w:rsidR="00A10901" w:rsidRPr="00054C29" w:rsidRDefault="00A10901" w:rsidP="00054C29">
            <w:pPr>
              <w:pStyle w:val="TableParagraph"/>
              <w:rPr>
                <w:rFonts w:ascii="Gill Sans MT" w:hAnsi="Gill Sans MT"/>
              </w:rPr>
            </w:pPr>
          </w:p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  <w:b/>
              </w:rPr>
            </w:pPr>
            <w:r w:rsidRPr="00054C29">
              <w:rPr>
                <w:rFonts w:ascii="Gill Sans MT" w:hAnsi="Gill Sans MT"/>
                <w:b/>
                <w:u w:val="single"/>
              </w:rPr>
              <w:t>Introduce</w:t>
            </w:r>
          </w:p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Timbre</w:t>
            </w:r>
          </w:p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Texture</w:t>
            </w:r>
          </w:p>
        </w:tc>
      </w:tr>
      <w:tr w:rsidR="0093000D" w:rsidRPr="00A10901" w:rsidTr="00054C29">
        <w:trPr>
          <w:trHeight w:val="1343"/>
        </w:trPr>
        <w:tc>
          <w:tcPr>
            <w:tcW w:w="1738" w:type="dxa"/>
            <w:shd w:val="clear" w:color="auto" w:fill="FFFFFF" w:themeFill="background1"/>
          </w:tcPr>
          <w:p w:rsidR="0093000D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  <w:b/>
                <w:i/>
              </w:rPr>
            </w:pPr>
            <w:r w:rsidRPr="00054C29">
              <w:rPr>
                <w:rFonts w:ascii="Gill Sans MT" w:hAnsi="Gill Sans MT"/>
                <w:b/>
                <w:i/>
              </w:rPr>
              <w:t>Listen and Appraise</w:t>
            </w:r>
          </w:p>
        </w:tc>
        <w:tc>
          <w:tcPr>
            <w:tcW w:w="3402" w:type="dxa"/>
          </w:tcPr>
          <w:p w:rsidR="0093000D" w:rsidRPr="00054C29" w:rsidRDefault="001E5F56" w:rsidP="00054C29">
            <w:pPr>
              <w:pStyle w:val="TableParagraph"/>
              <w:ind w:right="280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Listen with concentration and understanding to a range of high-quality live and recorded music.</w:t>
            </w:r>
          </w:p>
        </w:tc>
        <w:tc>
          <w:tcPr>
            <w:tcW w:w="3686" w:type="dxa"/>
          </w:tcPr>
          <w:p w:rsidR="0093000D" w:rsidRPr="00054C29" w:rsidRDefault="001E5F56" w:rsidP="00054C29">
            <w:pPr>
              <w:pStyle w:val="TableParagraph"/>
              <w:ind w:left="107" w:right="133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Listen with concentration and understanding to a range of high- quality live and recorded music.</w:t>
            </w:r>
          </w:p>
        </w:tc>
        <w:tc>
          <w:tcPr>
            <w:tcW w:w="3668" w:type="dxa"/>
          </w:tcPr>
          <w:p w:rsidR="0093000D" w:rsidRPr="00054C29" w:rsidRDefault="001E5F56" w:rsidP="00054C29">
            <w:pPr>
              <w:pStyle w:val="TableParagraph"/>
              <w:ind w:left="106" w:right="84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Appreciate and understand a wide range of high quality live and recorded music drawn from different traditions and from great composers and</w:t>
            </w:r>
          </w:p>
          <w:p w:rsidR="0093000D" w:rsidRPr="00054C29" w:rsidRDefault="001E5F56" w:rsidP="00054C29">
            <w:pPr>
              <w:pStyle w:val="TableParagraph"/>
              <w:ind w:left="106"/>
              <w:rPr>
                <w:rFonts w:ascii="Gill Sans MT" w:hAnsi="Gill Sans MT"/>
              </w:rPr>
            </w:pPr>
            <w:proofErr w:type="gramStart"/>
            <w:r w:rsidRPr="00054C29">
              <w:rPr>
                <w:rFonts w:ascii="Gill Sans MT" w:hAnsi="Gill Sans MT"/>
              </w:rPr>
              <w:t>musicians</w:t>
            </w:r>
            <w:proofErr w:type="gramEnd"/>
            <w:r w:rsidRPr="00054C29">
              <w:rPr>
                <w:rFonts w:ascii="Gill Sans MT" w:hAnsi="Gill Sans MT"/>
              </w:rPr>
              <w:t>.</w:t>
            </w:r>
          </w:p>
        </w:tc>
        <w:tc>
          <w:tcPr>
            <w:tcW w:w="3279" w:type="dxa"/>
          </w:tcPr>
          <w:p w:rsidR="0093000D" w:rsidRPr="00054C29" w:rsidRDefault="001E5F56" w:rsidP="00054C29">
            <w:pPr>
              <w:pStyle w:val="TableParagraph"/>
              <w:ind w:right="26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Appreciate and understand a wide range of high quality live and recorded music drawn from different traditions and from</w:t>
            </w:r>
          </w:p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great composers and musicians</w:t>
            </w:r>
          </w:p>
        </w:tc>
      </w:tr>
      <w:tr w:rsidR="0093000D" w:rsidRPr="00A10901" w:rsidTr="00054C29">
        <w:trPr>
          <w:trHeight w:val="2679"/>
        </w:trPr>
        <w:tc>
          <w:tcPr>
            <w:tcW w:w="1738" w:type="dxa"/>
            <w:shd w:val="clear" w:color="auto" w:fill="FFFFFF" w:themeFill="background1"/>
          </w:tcPr>
          <w:p w:rsidR="0093000D" w:rsidRPr="00054C29" w:rsidRDefault="001E5F56" w:rsidP="00054C29">
            <w:pPr>
              <w:pStyle w:val="TableParagraph"/>
              <w:ind w:left="107" w:right="263"/>
              <w:rPr>
                <w:rFonts w:ascii="Gill Sans MT" w:hAnsi="Gill Sans MT"/>
                <w:b/>
                <w:i/>
              </w:rPr>
            </w:pPr>
            <w:r w:rsidRPr="00054C29">
              <w:rPr>
                <w:rFonts w:ascii="Gill Sans MT" w:hAnsi="Gill Sans MT"/>
                <w:b/>
                <w:i/>
              </w:rPr>
              <w:t>Creating and exploring (improvising, composing, notating).</w:t>
            </w:r>
          </w:p>
        </w:tc>
        <w:tc>
          <w:tcPr>
            <w:tcW w:w="3402" w:type="dxa"/>
          </w:tcPr>
          <w:p w:rsidR="0093000D" w:rsidRPr="00054C29" w:rsidRDefault="001E5F56" w:rsidP="00054C29">
            <w:pPr>
              <w:pStyle w:val="TableParagraph"/>
              <w:ind w:right="243"/>
              <w:jc w:val="bot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Improvising with voices and </w:t>
            </w:r>
            <w:proofErr w:type="spellStart"/>
            <w:r w:rsidRPr="00054C29">
              <w:rPr>
                <w:rFonts w:ascii="Gill Sans MT" w:hAnsi="Gill Sans MT"/>
              </w:rPr>
              <w:t>untuned</w:t>
            </w:r>
            <w:proofErr w:type="spellEnd"/>
            <w:r w:rsidRPr="00054C29">
              <w:rPr>
                <w:rFonts w:ascii="Gill Sans MT" w:hAnsi="Gill Sans MT"/>
              </w:rPr>
              <w:t xml:space="preserve"> instruments.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right="260"/>
              <w:jc w:val="bot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Composing short phrases using knowledge of pulse, rhythm and pitch.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right="321"/>
              <w:jc w:val="bot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Introduction to graphic scoring. Adults modelling</w:t>
            </w:r>
            <w:r w:rsidR="00054C29" w:rsidRPr="00054C29">
              <w:rPr>
                <w:rFonts w:ascii="Gill Sans MT" w:hAnsi="Gill Sans MT"/>
              </w:rPr>
              <w:t xml:space="preserve"> and </w:t>
            </w:r>
            <w:r w:rsidRPr="00054C29">
              <w:rPr>
                <w:rFonts w:ascii="Gill Sans MT" w:hAnsi="Gill Sans MT"/>
              </w:rPr>
              <w:t>children doing.</w:t>
            </w:r>
          </w:p>
        </w:tc>
        <w:tc>
          <w:tcPr>
            <w:tcW w:w="3686" w:type="dxa"/>
          </w:tcPr>
          <w:p w:rsidR="0093000D" w:rsidRPr="00054C29" w:rsidRDefault="001E5F56" w:rsidP="00054C29">
            <w:pPr>
              <w:pStyle w:val="TableParagraph"/>
              <w:ind w:left="107" w:right="267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Improvising with voices and tuned and </w:t>
            </w:r>
            <w:proofErr w:type="spellStart"/>
            <w:r w:rsidRPr="00054C29">
              <w:rPr>
                <w:rFonts w:ascii="Gill Sans MT" w:hAnsi="Gill Sans MT"/>
              </w:rPr>
              <w:t>untuned</w:t>
            </w:r>
            <w:proofErr w:type="spellEnd"/>
            <w:r w:rsidRPr="00054C29">
              <w:rPr>
                <w:rFonts w:ascii="Gill Sans MT" w:hAnsi="Gill Sans MT"/>
              </w:rPr>
              <w:t xml:space="preserve"> instruments with increasing accuracy.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left="107" w:right="22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Composing simple, short tunes based on given information (e.g. structure, notes).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left="107" w:right="230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Continuing to graphic score own compositions.</w:t>
            </w:r>
          </w:p>
        </w:tc>
        <w:tc>
          <w:tcPr>
            <w:tcW w:w="3668" w:type="dxa"/>
          </w:tcPr>
          <w:p w:rsidR="0093000D" w:rsidRPr="00054C29" w:rsidRDefault="001E5F56" w:rsidP="00054C29">
            <w:pPr>
              <w:pStyle w:val="TableParagraph"/>
              <w:ind w:left="106" w:right="83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Improvising with voices and tuned and </w:t>
            </w:r>
            <w:proofErr w:type="spellStart"/>
            <w:r w:rsidRPr="00054C29">
              <w:rPr>
                <w:rFonts w:ascii="Gill Sans MT" w:hAnsi="Gill Sans MT"/>
              </w:rPr>
              <w:t>untuned</w:t>
            </w:r>
            <w:proofErr w:type="spellEnd"/>
            <w:r w:rsidRPr="00054C29">
              <w:rPr>
                <w:rFonts w:ascii="Gill Sans MT" w:hAnsi="Gill Sans MT"/>
              </w:rPr>
              <w:t xml:space="preserve"> instruments using increasing knowledge of elements of music (see above)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left="106" w:right="474"/>
              <w:jc w:val="bot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Composing whole pieces based on given information (e.g. key scales, structure).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left="106" w:right="395"/>
              <w:jc w:val="both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Using learnt notation to scribe own compositions.</w:t>
            </w:r>
          </w:p>
        </w:tc>
        <w:tc>
          <w:tcPr>
            <w:tcW w:w="3279" w:type="dxa"/>
          </w:tcPr>
          <w:p w:rsidR="0093000D" w:rsidRPr="00054C29" w:rsidRDefault="001E5F56" w:rsidP="00054C29">
            <w:pPr>
              <w:pStyle w:val="TableParagraph"/>
              <w:ind w:right="9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Improvising with voices and tuned and </w:t>
            </w:r>
            <w:proofErr w:type="spellStart"/>
            <w:r w:rsidRPr="00054C29">
              <w:rPr>
                <w:rFonts w:ascii="Gill Sans MT" w:hAnsi="Gill Sans MT"/>
              </w:rPr>
              <w:t>untuned</w:t>
            </w:r>
            <w:proofErr w:type="spellEnd"/>
            <w:r w:rsidRPr="00054C29">
              <w:rPr>
                <w:rFonts w:ascii="Gill Sans MT" w:hAnsi="Gill Sans MT"/>
              </w:rPr>
              <w:t xml:space="preserve"> instruments, working within a key scale, to inform</w:t>
            </w:r>
            <w:r w:rsidRPr="00054C29">
              <w:rPr>
                <w:rFonts w:ascii="Gill Sans MT" w:hAnsi="Gill Sans MT"/>
                <w:spacing w:val="-3"/>
              </w:rPr>
              <w:t xml:space="preserve"> </w:t>
            </w:r>
            <w:r w:rsidRPr="00054C29">
              <w:rPr>
                <w:rFonts w:ascii="Gill Sans MT" w:hAnsi="Gill Sans MT"/>
              </w:rPr>
              <w:t>compositions.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right="414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Composing whole pieces using knowledge of key scales,</w:t>
            </w:r>
          </w:p>
        </w:tc>
      </w:tr>
      <w:tr w:rsidR="0093000D" w:rsidRPr="00A10901" w:rsidTr="00054C29">
        <w:trPr>
          <w:trHeight w:val="1612"/>
        </w:trPr>
        <w:tc>
          <w:tcPr>
            <w:tcW w:w="1738" w:type="dxa"/>
            <w:shd w:val="clear" w:color="auto" w:fill="FFFFFF" w:themeFill="background1"/>
          </w:tcPr>
          <w:p w:rsidR="0093000D" w:rsidRPr="00054C29" w:rsidRDefault="001E5F56" w:rsidP="00054C29">
            <w:pPr>
              <w:pStyle w:val="TableParagraph"/>
              <w:ind w:left="107"/>
              <w:rPr>
                <w:rFonts w:ascii="Gill Sans MT" w:hAnsi="Gill Sans MT"/>
                <w:b/>
                <w:i/>
              </w:rPr>
            </w:pPr>
            <w:r w:rsidRPr="00054C29">
              <w:rPr>
                <w:rFonts w:ascii="Gill Sans MT" w:hAnsi="Gill Sans MT"/>
                <w:b/>
                <w:i/>
              </w:rPr>
              <w:t>Perform</w:t>
            </w:r>
          </w:p>
        </w:tc>
        <w:tc>
          <w:tcPr>
            <w:tcW w:w="3402" w:type="dxa"/>
          </w:tcPr>
          <w:p w:rsidR="0093000D" w:rsidRPr="00054C29" w:rsidRDefault="001E5F56" w:rsidP="00054C29">
            <w:pPr>
              <w:pStyle w:val="TableParagraph"/>
              <w:ind w:right="41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Reproduce sounds from aural memory.</w:t>
            </w:r>
          </w:p>
        </w:tc>
        <w:tc>
          <w:tcPr>
            <w:tcW w:w="3686" w:type="dxa"/>
          </w:tcPr>
          <w:p w:rsidR="0093000D" w:rsidRPr="00054C29" w:rsidRDefault="001E5F56" w:rsidP="00054C29">
            <w:pPr>
              <w:pStyle w:val="TableParagraph"/>
              <w:ind w:left="107" w:right="47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Reproduce sounds from aural memory.</w:t>
            </w:r>
          </w:p>
          <w:p w:rsidR="0093000D" w:rsidRPr="00054C29" w:rsidRDefault="001E5F56" w:rsidP="00054C29">
            <w:pPr>
              <w:pStyle w:val="TableParagraph"/>
              <w:ind w:left="107" w:right="382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Perform in ensemble contexts. Perform from a graphic score.</w:t>
            </w:r>
          </w:p>
        </w:tc>
        <w:tc>
          <w:tcPr>
            <w:tcW w:w="3668" w:type="dxa"/>
          </w:tcPr>
          <w:p w:rsidR="0093000D" w:rsidRPr="00054C29" w:rsidRDefault="001E5F56" w:rsidP="00054C29">
            <w:pPr>
              <w:pStyle w:val="TableParagraph"/>
              <w:ind w:left="106" w:right="52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 xml:space="preserve">Perform in ensemble and </w:t>
            </w:r>
            <w:r w:rsidRPr="00054C29">
              <w:rPr>
                <w:rFonts w:ascii="Gill Sans MT" w:hAnsi="Gill Sans MT"/>
                <w:spacing w:val="-4"/>
              </w:rPr>
              <w:t xml:space="preserve">solo </w:t>
            </w:r>
            <w:r w:rsidRPr="00054C29">
              <w:rPr>
                <w:rFonts w:ascii="Gill Sans MT" w:hAnsi="Gill Sans MT"/>
              </w:rPr>
              <w:t>contexts.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left="106" w:right="52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Perform pieces from more formal notation.</w:t>
            </w:r>
          </w:p>
        </w:tc>
        <w:tc>
          <w:tcPr>
            <w:tcW w:w="3279" w:type="dxa"/>
          </w:tcPr>
          <w:p w:rsidR="0093000D" w:rsidRPr="00054C29" w:rsidRDefault="001E5F56" w:rsidP="00054C29">
            <w:pPr>
              <w:pStyle w:val="TableParagraph"/>
              <w:ind w:right="466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Perform in ensemble and solo contexts.</w:t>
            </w:r>
          </w:p>
          <w:p w:rsidR="0093000D" w:rsidRPr="00054C29" w:rsidRDefault="0093000D" w:rsidP="00054C29">
            <w:pPr>
              <w:pStyle w:val="TableParagraph"/>
              <w:ind w:left="0"/>
              <w:rPr>
                <w:rFonts w:ascii="Gill Sans MT" w:hAnsi="Gill Sans MT"/>
                <w:b/>
              </w:rPr>
            </w:pPr>
          </w:p>
          <w:p w:rsidR="0093000D" w:rsidRPr="00054C29" w:rsidRDefault="001E5F56" w:rsidP="00054C29">
            <w:pPr>
              <w:pStyle w:val="TableParagraph"/>
              <w:ind w:right="668"/>
              <w:rPr>
                <w:rFonts w:ascii="Gill Sans MT" w:hAnsi="Gill Sans MT"/>
              </w:rPr>
            </w:pPr>
            <w:r w:rsidRPr="00054C29">
              <w:rPr>
                <w:rFonts w:ascii="Gill Sans MT" w:hAnsi="Gill Sans MT"/>
              </w:rPr>
              <w:t>Perform pieces from formal notation, including using</w:t>
            </w:r>
          </w:p>
          <w:p w:rsidR="0093000D" w:rsidRPr="00054C29" w:rsidRDefault="001E5F56" w:rsidP="00054C29">
            <w:pPr>
              <w:pStyle w:val="TableParagraph"/>
              <w:rPr>
                <w:rFonts w:ascii="Gill Sans MT" w:hAnsi="Gill Sans MT"/>
              </w:rPr>
            </w:pPr>
            <w:proofErr w:type="gramStart"/>
            <w:r w:rsidRPr="00054C29">
              <w:rPr>
                <w:rFonts w:ascii="Gill Sans MT" w:hAnsi="Gill Sans MT"/>
              </w:rPr>
              <w:t>expression</w:t>
            </w:r>
            <w:proofErr w:type="gramEnd"/>
            <w:r w:rsidRPr="00054C29">
              <w:rPr>
                <w:rFonts w:ascii="Gill Sans MT" w:hAnsi="Gill Sans MT"/>
              </w:rPr>
              <w:t xml:space="preserve"> and dynamics.</w:t>
            </w:r>
          </w:p>
        </w:tc>
      </w:tr>
    </w:tbl>
    <w:p w:rsidR="0093000D" w:rsidRDefault="0093000D" w:rsidP="00054C29">
      <w:pPr>
        <w:spacing w:line="252" w:lineRule="exact"/>
        <w:rPr>
          <w:b/>
          <w:sz w:val="16"/>
        </w:rPr>
      </w:pPr>
    </w:p>
    <w:sectPr w:rsidR="0093000D" w:rsidSect="00054C29">
      <w:pgSz w:w="16840" w:h="11910" w:orient="landscape"/>
      <w:pgMar w:top="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0D"/>
    <w:rsid w:val="00054C29"/>
    <w:rsid w:val="001E5F56"/>
    <w:rsid w:val="005F1CDE"/>
    <w:rsid w:val="007472B1"/>
    <w:rsid w:val="0093000D"/>
    <w:rsid w:val="00A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CC8FD-DAF2-4B30-B373-1F2D8013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NormalWeb">
    <w:name w:val="Normal (Web)"/>
    <w:basedOn w:val="Normal"/>
    <w:uiPriority w:val="99"/>
    <w:semiHidden/>
    <w:unhideWhenUsed/>
    <w:rsid w:val="00054C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McCullagh</dc:creator>
  <cp:lastModifiedBy>Emily McCullagh</cp:lastModifiedBy>
  <cp:revision>3</cp:revision>
  <dcterms:created xsi:type="dcterms:W3CDTF">2021-01-27T11:59:00Z</dcterms:created>
  <dcterms:modified xsi:type="dcterms:W3CDTF">2021-02-19T15:23:00Z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</Properties>
</file>